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D99A2B" w:color="auto" w:val="clear"/>
        <w:spacing w:after="0"/>
      </w:pPr>
      <w:r>
        <w:rPr>
          <w:sz w:val="10"/>
          <w:szCs w:val="10"/>
        </w:rPr>
        <w:t xml:space="preserve"> </w:t>
      </w:r>
    </w:p>
    <w:p>
      <w:pPr>
        <w:shd w:fill="1F4E3D" w:color="auto" w:val="clear"/>
        <w:spacing w:after="0" w:line="300"/>
        <w:ind w:left="0" w:right="0"/>
      </w:pPr>
      <w:r>
        <w:rPr>
          <w:rFonts w:ascii="Arial" w:cs="Arial" w:eastAsia="Arial" w:hAnsi="Arial"/>
          <w:b w:val="false"/>
          <w:bCs w:val="false"/>
          <w:color w:val="FFFFFF"/>
          <w:sz w:val="24"/>
          <w:szCs w:val="24"/>
        </w:rPr>
        <w:t xml:space="preserve"> </w:t>
      </w:r>
    </w:p>
    <w:p>
      <w:pPr>
        <w:shd w:fill="1F4E3D" w:color="auto" w:val="clear"/>
        <w:spacing w:after="0" w:line="300"/>
        <w:ind w:left="0" w:right="0"/>
      </w:pPr>
      <w:r>
        <w:rPr>
          <w:rFonts w:ascii="Arial" w:cs="Arial" w:eastAsia="Arial" w:hAnsi="Arial"/>
          <w:b/>
          <w:bCs/>
          <w:color w:val="D99A2B"/>
          <w:sz w:val="15"/>
          <w:szCs w:val="15"/>
        </w:rPr>
        <w:t xml:space="preserve">S'INSTALLER AU MAROC · FICHIERS DU LIVRE</w:t>
      </w:r>
    </w:p>
    <w:p>
      <w:pPr>
        <w:shd w:fill="1F4E3D" w:color="auto" w:val="clear"/>
        <w:spacing w:after="0" w:line="300"/>
        <w:ind w:left="0" w:right="0"/>
      </w:pPr>
      <w:r>
        <w:rPr>
          <w:rFonts w:ascii="Arial" w:cs="Arial" w:eastAsia="Arial" w:hAnsi="Arial"/>
          <w:b w:val="false"/>
          <w:bCs w:val="false"/>
          <w:color w:val="FFFFFF"/>
          <w:sz w:val="16"/>
          <w:szCs w:val="16"/>
        </w:rPr>
        <w:t xml:space="preserve"> </w:t>
      </w:r>
    </w:p>
    <w:p>
      <w:pPr>
        <w:shd w:fill="1F4E3D" w:color="auto" w:val="clear"/>
        <w:spacing w:after="0" w:line="300"/>
        <w:ind w:left="0" w:right="0"/>
      </w:pPr>
      <w:r>
        <w:rPr>
          <w:rFonts w:ascii="Georgia" w:cs="Georgia" w:eastAsia="Georgia" w:hAnsi="Georgia"/>
          <w:b/>
          <w:bCs/>
          <w:color w:val="FFFFFF"/>
          <w:sz w:val="56"/>
          <w:szCs w:val="56"/>
        </w:rPr>
        <w:t xml:space="preserve">Les check-lists du livre</w:t>
      </w:r>
    </w:p>
    <w:p>
      <w:pPr>
        <w:shd w:fill="1F4E3D" w:color="auto" w:val="clear"/>
        <w:spacing w:after="0" w:line="300"/>
        <w:ind w:left="0" w:right="0"/>
      </w:pPr>
      <w:r>
        <w:rPr>
          <w:rFonts w:ascii="Arial" w:cs="Arial" w:eastAsia="Arial" w:hAnsi="Arial"/>
          <w:b w:val="false"/>
          <w:bCs w:val="false"/>
          <w:color w:val="FFFFFF"/>
          <w:sz w:val="16"/>
          <w:szCs w:val="16"/>
        </w:rPr>
        <w:t xml:space="preserve"> </w:t>
      </w:r>
    </w:p>
    <w:p>
      <w:pPr>
        <w:shd w:fill="1F4E3D" w:color="auto" w:val="clear"/>
        <w:spacing w:after="0" w:line="300"/>
        <w:ind w:left="0" w:right="0"/>
      </w:pPr>
      <w:r>
        <w:rPr>
          <w:rFonts w:ascii="Arial" w:cs="Arial" w:eastAsia="Arial" w:hAnsi="Arial"/>
          <w:b w:val="false"/>
          <w:bCs w:val="false"/>
          <w:color w:val="DFEEE5"/>
          <w:sz w:val="20"/>
          <w:szCs w:val="20"/>
        </w:rPr>
        <w:t xml:space="preserve">Toutes les listes du livre, prêtes à imprimer et à cocher, dans l'ordre des chapitres. Dans Word, cliquez sur une case pour la cocher.</w:t>
      </w:r>
    </w:p>
    <w:p>
      <w:pPr>
        <w:shd w:fill="1F4E3D" w:color="auto" w:val="clear"/>
        <w:spacing w:after="0" w:line="300"/>
        <w:ind w:left="0" w:right="0"/>
      </w:pPr>
      <w:r>
        <w:rPr>
          <w:rFonts w:ascii="Arial" w:cs="Arial" w:eastAsia="Arial" w:hAnsi="Arial"/>
          <w:b w:val="false"/>
          <w:bCs w:val="false"/>
          <w:color w:val="FFFFFF"/>
          <w:sz w:val="24"/>
          <w:szCs w:val="24"/>
        </w:rPr>
        <w:t xml:space="preserve"> </w:t>
      </w:r>
    </w:p>
    <w:p>
      <w:pPr>
        <w:spacing w:after="120"/>
      </w:pPr>
    </w:p>
    <w:p>
      <w:pPr>
        <w:spacing w:after="120"/>
      </w:pPr>
    </w:p>
    <w:p>
      <w:pPr>
        <w:spacing w:after="120"/>
      </w:pPr>
      <w:r>
        <w:rPr>
          <w:rFonts w:ascii="Georgia" w:cs="Georgia" w:eastAsia="Georgia" w:hAnsi="Georgia"/>
          <w:b/>
          <w:bCs/>
          <w:color w:val="1F4E3D"/>
          <w:sz w:val="26"/>
          <w:szCs w:val="26"/>
        </w:rPr>
        <w:t xml:space="preserve">Sommaire</w:t>
      </w:r>
    </w:p>
    <w:p>
      <w:pPr>
        <w:spacing w:after="40"/>
      </w:pPr>
      <w:r>
        <w:rPr>
          <w:rFonts w:ascii="Arial" w:cs="Arial" w:eastAsia="Arial" w:hAnsi="Arial"/>
          <w:color w:val="1F2A2E"/>
          <w:sz w:val="18"/>
          <w:szCs w:val="18"/>
        </w:rPr>
        <w:t xml:space="preserve">1. Avant de signer un bail</w:t>
      </w:r>
      <w:r>
        <w:rPr>
          <w:rFonts w:ascii="Arial" w:cs="Arial" w:eastAsia="Arial" w:hAnsi="Arial"/>
          <w:color w:val="7A8A85"/>
          <w:sz w:val="18"/>
          <w:szCs w:val="18"/>
        </w:rPr>
        <w:t xml:space="preserve"> — Chapitre 5 — Se loger</w:t>
      </w:r>
    </w:p>
    <w:p>
      <w:pPr>
        <w:spacing w:after="40"/>
      </w:pPr>
      <w:r>
        <w:rPr>
          <w:rFonts w:ascii="Arial" w:cs="Arial" w:eastAsia="Arial" w:hAnsi="Arial"/>
          <w:color w:val="1F2A2E"/>
          <w:sz w:val="18"/>
          <w:szCs w:val="18"/>
        </w:rPr>
        <w:t xml:space="preserve">2. Avant d'acheter</w:t>
      </w:r>
      <w:r>
        <w:rPr>
          <w:rFonts w:ascii="Arial" w:cs="Arial" w:eastAsia="Arial" w:hAnsi="Arial"/>
          <w:color w:val="7A8A85"/>
          <w:sz w:val="18"/>
          <w:szCs w:val="18"/>
        </w:rPr>
        <w:t xml:space="preserve"> — Chapitre 5 — Se loger</w:t>
      </w:r>
    </w:p>
    <w:p>
      <w:pPr>
        <w:spacing w:after="40"/>
      </w:pPr>
      <w:r>
        <w:rPr>
          <w:rFonts w:ascii="Arial" w:cs="Arial" w:eastAsia="Arial" w:hAnsi="Arial"/>
          <w:color w:val="1F2A2E"/>
          <w:sz w:val="18"/>
          <w:szCs w:val="18"/>
        </w:rPr>
        <w:t xml:space="preserve">3. Check-list santé avant le départ</w:t>
      </w:r>
      <w:r>
        <w:rPr>
          <w:rFonts w:ascii="Arial" w:cs="Arial" w:eastAsia="Arial" w:hAnsi="Arial"/>
          <w:color w:val="7A8A85"/>
          <w:sz w:val="18"/>
          <w:szCs w:val="18"/>
        </w:rPr>
        <w:t xml:space="preserve"> — Chapitre 7 — La santé</w:t>
      </w:r>
    </w:p>
    <w:p>
      <w:pPr>
        <w:spacing w:after="40"/>
      </w:pPr>
      <w:r>
        <w:rPr>
          <w:rFonts w:ascii="Arial" w:cs="Arial" w:eastAsia="Arial" w:hAnsi="Arial"/>
          <w:color w:val="1F2A2E"/>
          <w:sz w:val="18"/>
          <w:szCs w:val="18"/>
        </w:rPr>
        <w:t xml:space="preserve">4. Fiche « En cas d'urgence » à afficher chez vous</w:t>
      </w:r>
      <w:r>
        <w:rPr>
          <w:rFonts w:ascii="Arial" w:cs="Arial" w:eastAsia="Arial" w:hAnsi="Arial"/>
          <w:color w:val="7A8A85"/>
          <w:sz w:val="18"/>
          <w:szCs w:val="18"/>
        </w:rPr>
        <w:t xml:space="preserve"> — Chapitre 7 — La santé</w:t>
      </w:r>
    </w:p>
    <w:p>
      <w:pPr>
        <w:spacing w:after="40"/>
      </w:pPr>
      <w:r>
        <w:rPr>
          <w:rFonts w:ascii="Arial" w:cs="Arial" w:eastAsia="Arial" w:hAnsi="Arial"/>
          <w:color w:val="1F2A2E"/>
          <w:sz w:val="18"/>
          <w:szCs w:val="18"/>
        </w:rPr>
        <w:t xml:space="preserve">5. Avant de signer un contrat de travail</w:t>
      </w:r>
      <w:r>
        <w:rPr>
          <w:rFonts w:ascii="Arial" w:cs="Arial" w:eastAsia="Arial" w:hAnsi="Arial"/>
          <w:color w:val="7A8A85"/>
          <w:sz w:val="18"/>
          <w:szCs w:val="18"/>
        </w:rPr>
        <w:t xml:space="preserve"> — Chapitre 9 — Travailler et entreprendre</w:t>
      </w:r>
    </w:p>
    <w:p>
      <w:pPr>
        <w:spacing w:after="40"/>
      </w:pPr>
      <w:r>
        <w:rPr>
          <w:rFonts w:ascii="Arial" w:cs="Arial" w:eastAsia="Arial" w:hAnsi="Arial"/>
          <w:color w:val="1F2A2E"/>
          <w:sz w:val="18"/>
          <w:szCs w:val="18"/>
        </w:rPr>
        <w:t xml:space="preserve">6. Avant de lancer son activité</w:t>
      </w:r>
      <w:r>
        <w:rPr>
          <w:rFonts w:ascii="Arial" w:cs="Arial" w:eastAsia="Arial" w:hAnsi="Arial"/>
          <w:color w:val="7A8A85"/>
          <w:sz w:val="18"/>
          <w:szCs w:val="18"/>
        </w:rPr>
        <w:t xml:space="preserve"> — Chapitre 9 — Travailler et entreprendre</w:t>
      </w:r>
    </w:p>
    <w:p>
      <w:pPr>
        <w:spacing w:after="40"/>
      </w:pPr>
      <w:r>
        <w:rPr>
          <w:rFonts w:ascii="Arial" w:cs="Arial" w:eastAsia="Arial" w:hAnsi="Arial"/>
          <w:color w:val="1F2A2E"/>
          <w:sz w:val="18"/>
          <w:szCs w:val="18"/>
        </w:rPr>
        <w:t xml:space="preserve">7. Check-list des premières semaines</w:t>
      </w:r>
      <w:r>
        <w:rPr>
          <w:rFonts w:ascii="Arial" w:cs="Arial" w:eastAsia="Arial" w:hAnsi="Arial"/>
          <w:color w:val="7A8A85"/>
          <w:sz w:val="18"/>
          <w:szCs w:val="18"/>
        </w:rPr>
        <w:t xml:space="preserve"> — Chapitre 10 — Les services publics au quotidien</w:t>
      </w:r>
    </w:p>
    <w:p>
      <w:pPr>
        <w:spacing w:after="40"/>
      </w:pPr>
      <w:r>
        <w:rPr>
          <w:rFonts w:ascii="Arial" w:cs="Arial" w:eastAsia="Arial" w:hAnsi="Arial"/>
          <w:color w:val="1F2A2E"/>
          <w:sz w:val="18"/>
          <w:szCs w:val="18"/>
        </w:rPr>
        <w:t xml:space="preserve">8. L'auto-diagnostic : quels pièges vous guettent ?</w:t>
      </w:r>
      <w:r>
        <w:rPr>
          <w:rFonts w:ascii="Arial" w:cs="Arial" w:eastAsia="Arial" w:hAnsi="Arial"/>
          <w:color w:val="7A8A85"/>
          <w:sz w:val="18"/>
          <w:szCs w:val="18"/>
        </w:rPr>
        <w:t xml:space="preserve"> — Chapitre 12 — Les 30 pièges à éviter</w:t>
      </w:r>
    </w:p>
    <w:p>
      <w:pPr>
        <w:spacing w:after="40"/>
      </w:pPr>
      <w:r>
        <w:rPr>
          <w:rFonts w:ascii="Arial" w:cs="Arial" w:eastAsia="Arial" w:hAnsi="Arial"/>
          <w:color w:val="1F2A2E"/>
          <w:sz w:val="18"/>
          <w:szCs w:val="18"/>
        </w:rPr>
        <w:t xml:space="preserve">9. Rétroplanning — De J-180 à J-120 : décider</w:t>
      </w:r>
      <w:r>
        <w:rPr>
          <w:rFonts w:ascii="Arial" w:cs="Arial" w:eastAsia="Arial" w:hAnsi="Arial"/>
          <w:color w:val="7A8A85"/>
          <w:sz w:val="18"/>
          <w:szCs w:val="18"/>
        </w:rPr>
        <w:t xml:space="preserve"> — Chapitre 14 — Le rétroplanning</w:t>
      </w:r>
    </w:p>
    <w:p>
      <w:pPr>
        <w:spacing w:after="40"/>
      </w:pPr>
      <w:r>
        <w:rPr>
          <w:rFonts w:ascii="Arial" w:cs="Arial" w:eastAsia="Arial" w:hAnsi="Arial"/>
          <w:color w:val="1F2A2E"/>
          <w:sz w:val="18"/>
          <w:szCs w:val="18"/>
        </w:rPr>
        <w:t xml:space="preserve">10. Rétroplanning — De J-120 à J-60 : constituer ses dossiers</w:t>
      </w:r>
      <w:r>
        <w:rPr>
          <w:rFonts w:ascii="Arial" w:cs="Arial" w:eastAsia="Arial" w:hAnsi="Arial"/>
          <w:color w:val="7A8A85"/>
          <w:sz w:val="18"/>
          <w:szCs w:val="18"/>
        </w:rPr>
        <w:t xml:space="preserve"> — Chapitre 14 — Le rétroplanning</w:t>
      </w:r>
    </w:p>
    <w:p>
      <w:pPr>
        <w:spacing w:after="40"/>
      </w:pPr>
      <w:r>
        <w:rPr>
          <w:rFonts w:ascii="Arial" w:cs="Arial" w:eastAsia="Arial" w:hAnsi="Arial"/>
          <w:color w:val="1F2A2E"/>
          <w:sz w:val="18"/>
          <w:szCs w:val="18"/>
        </w:rPr>
        <w:t xml:space="preserve">11. Rétroplanning — De J-60 à J-30 : organiser le départ</w:t>
      </w:r>
      <w:r>
        <w:rPr>
          <w:rFonts w:ascii="Arial" w:cs="Arial" w:eastAsia="Arial" w:hAnsi="Arial"/>
          <w:color w:val="7A8A85"/>
          <w:sz w:val="18"/>
          <w:szCs w:val="18"/>
        </w:rPr>
        <w:t xml:space="preserve"> — Chapitre 14 — Le rétroplanning</w:t>
      </w:r>
    </w:p>
    <w:p>
      <w:pPr>
        <w:spacing w:after="40"/>
      </w:pPr>
      <w:r>
        <w:rPr>
          <w:rFonts w:ascii="Arial" w:cs="Arial" w:eastAsia="Arial" w:hAnsi="Arial"/>
          <w:color w:val="1F2A2E"/>
          <w:sz w:val="18"/>
          <w:szCs w:val="18"/>
        </w:rPr>
        <w:t xml:space="preserve">12. Rétroplanning — De J-30 au départ : partir</w:t>
      </w:r>
      <w:r>
        <w:rPr>
          <w:rFonts w:ascii="Arial" w:cs="Arial" w:eastAsia="Arial" w:hAnsi="Arial"/>
          <w:color w:val="7A8A85"/>
          <w:sz w:val="18"/>
          <w:szCs w:val="18"/>
        </w:rPr>
        <w:t xml:space="preserve"> — Chapitre 14 — Le rétroplanning</w:t>
      </w:r>
    </w:p>
    <w:p>
      <w:pPr>
        <w:spacing w:after="40"/>
      </w:pPr>
      <w:r>
        <w:rPr>
          <w:rFonts w:ascii="Arial" w:cs="Arial" w:eastAsia="Arial" w:hAnsi="Arial"/>
          <w:color w:val="1F2A2E"/>
          <w:sz w:val="18"/>
          <w:szCs w:val="18"/>
        </w:rPr>
        <w:t xml:space="preserve">13. Rétroplanning — De J à J+30 : s'installer</w:t>
      </w:r>
      <w:r>
        <w:rPr>
          <w:rFonts w:ascii="Arial" w:cs="Arial" w:eastAsia="Arial" w:hAnsi="Arial"/>
          <w:color w:val="7A8A85"/>
          <w:sz w:val="18"/>
          <w:szCs w:val="18"/>
        </w:rPr>
        <w:t xml:space="preserve"> — Chapitre 14 — Le rétroplanning</w:t>
      </w:r>
    </w:p>
    <w:p>
      <w:pPr>
        <w:spacing w:after="40"/>
      </w:pPr>
      <w:r>
        <w:rPr>
          <w:rFonts w:ascii="Arial" w:cs="Arial" w:eastAsia="Arial" w:hAnsi="Arial"/>
          <w:color w:val="1F2A2E"/>
          <w:sz w:val="18"/>
          <w:szCs w:val="18"/>
        </w:rPr>
        <w:t xml:space="preserve">14. Rétroplanning — De J+30 à J+90 : s'ancrer</w:t>
      </w:r>
      <w:r>
        <w:rPr>
          <w:rFonts w:ascii="Arial" w:cs="Arial" w:eastAsia="Arial" w:hAnsi="Arial"/>
          <w:color w:val="7A8A85"/>
          <w:sz w:val="18"/>
          <w:szCs w:val="18"/>
        </w:rPr>
        <w:t xml:space="preserve"> — Chapitre 14 — Le rétroplanning</w:t>
      </w:r>
    </w:p>
    <w:p>
      <w:pPr>
        <w:spacing w:after="40"/>
      </w:pPr>
      <w:r>
        <w:rPr>
          <w:rFonts w:ascii="Arial" w:cs="Arial" w:eastAsia="Arial" w:hAnsi="Arial"/>
          <w:color w:val="1F2A2E"/>
          <w:sz w:val="18"/>
          <w:szCs w:val="18"/>
        </w:rPr>
        <w:t xml:space="preserve">15. Votre check-list des 72 dernières heures</w:t>
      </w:r>
      <w:r>
        <w:rPr>
          <w:rFonts w:ascii="Arial" w:cs="Arial" w:eastAsia="Arial" w:hAnsi="Arial"/>
          <w:color w:val="7A8A85"/>
          <w:sz w:val="18"/>
          <w:szCs w:val="18"/>
        </w:rPr>
        <w:t xml:space="preserve"> — Chapitre 14 — Le rétroplanning</w:t>
      </w:r>
    </w:p>
    <w:p>
      <w:pPr>
        <w:spacing w:after="40"/>
      </w:pPr>
      <w:r>
        <w:rPr>
          <w:rFonts w:ascii="Arial" w:cs="Arial" w:eastAsia="Arial" w:hAnsi="Arial"/>
          <w:color w:val="1F2A2E"/>
          <w:sz w:val="18"/>
          <w:szCs w:val="18"/>
        </w:rPr>
        <w:t xml:space="preserve">16. Si vous devez rentrer : préparer son plan B</w:t>
      </w:r>
      <w:r>
        <w:rPr>
          <w:rFonts w:ascii="Arial" w:cs="Arial" w:eastAsia="Arial" w:hAnsi="Arial"/>
          <w:color w:val="7A8A85"/>
          <w:sz w:val="18"/>
          <w:szCs w:val="18"/>
        </w:rPr>
        <w:t xml:space="preserve"> — Chapitre 14 — Le rétroplanning</w:t>
      </w:r>
    </w:p>
    <w:p>
      <w:pPr>
        <w:spacing w:after="120"/>
      </w:pPr>
    </w:p>
    <w:p>
      <w:pPr>
        <w:pBdr>
          <w:top w:val="single" w:color="CFE1D6" w:sz="4" w:space="6"/>
        </w:pBdr>
        <w:spacing w:before="400"/>
      </w:pPr>
      <w:r>
        <w:rPr>
          <w:rFonts w:ascii="Arial" w:cs="Arial" w:eastAsia="Arial" w:hAnsi="Arial"/>
          <w:b/>
          <w:bCs/>
          <w:color w:val="1F4E3D"/>
          <w:sz w:val="16"/>
          <w:szCs w:val="16"/>
        </w:rPr>
        <w:t xml:space="preserve">S'installer au Maroc</w:t>
      </w:r>
      <w:r>
        <w:rPr>
          <w:rFonts w:ascii="Arial" w:cs="Arial" w:eastAsia="Arial" w:hAnsi="Arial"/>
          <w:color w:val="5C6A70"/>
          <w:sz w:val="16"/>
          <w:szCs w:val="16"/>
        </w:rPr>
        <w:t xml:space="preserve"> — Samir El Andaloussi · Éditions du Flamboyant · installationaumaroc.com</w:t>
      </w:r>
      <w:r>
        <w:rPr>
          <w:rFonts w:ascii="Arial" w:cs="Arial" w:eastAsia="Arial" w:hAnsi="Arial"/>
          <w:color w:val="5C6A70"/>
          <w:sz w:val="16"/>
          <w:szCs w:val="16"/>
        </w:rPr>
        <w:br/>
        <w:t xml:space="preserve">Fichier réservé à l'usage personnel des lecteurs du livre. Informations vérifiées à l'automne 2026.</w:t>
      </w:r>
    </w:p>
    <w:p>
      <w:r>
        <w:br w:type="page"/>
      </w:r>
    </w:p>
    <w:p>
      <w:pPr>
        <w:spacing w:after="60"/>
      </w:pPr>
      <w:r>
        <w:rPr>
          <w:rFonts w:ascii="Arial" w:cs="Arial" w:eastAsia="Arial" w:hAnsi="Arial"/>
          <w:b/>
          <w:bCs/>
          <w:color w:val="9C6A0E"/>
          <w:spacing w:val="30"/>
          <w:sz w:val="15"/>
          <w:szCs w:val="15"/>
        </w:rPr>
        <w:t xml:space="preserve">CHAPITRE 5 — SE LOGER</w:t>
      </w:r>
    </w:p>
    <w:p>
      <w:pPr>
        <w:pStyle w:val="Heading1"/>
        <w:pBdr>
          <w:bottom w:val="single" w:color="D99A2B" w:sz="12" w:space="6"/>
        </w:pBdr>
        <w:spacing w:after="200"/>
      </w:pPr>
      <w:r>
        <w:rPr>
          <w:rFonts w:ascii="Georgia" w:cs="Georgia" w:eastAsia="Georgia" w:hAnsi="Georgia"/>
          <w:b/>
          <w:bCs/>
          <w:color w:val="1F4E3D"/>
          <w:sz w:val="34"/>
          <w:szCs w:val="34"/>
        </w:rPr>
        <w:t xml:space="preserve">Avant de signer un bail</w:t>
      </w:r>
    </w:p>
    <w:p>
      <w:pPr>
        <w:spacing w:after="140" w:line="300"/>
      </w:pP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Avant de vous engager, reprenez la liste qui vous concerne. Si une case reste vide, attendez de pouvoir la cocher.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J'ai visité le logement en personne, au moins une fois en journée et une fois le soir.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J'ai rencontré le propriétaire, ou vu le document qui autorise l'intermédiaire à louer.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J'ai vérifié l'humidité, la pression de l'eau, l'électricité et la climatisation.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Je sais quels opérateurs internet desservent l'immeuble.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J'ai vu les factures d'électricité d'un mois d'été et d'un mois d'hiver.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La preuve que les dernières factures d'eau et d'électricité sont soldées m'a été remise.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Le bail est écrit, je l'ai lu entièrement et j'en comprends chaque clause.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Le loyer, la durée, la caution et le préavis y figurent clairement.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La répartition des charges et des réparations est précisée.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Les signatures seront légalisées à la commune ou à l'arrondissement.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Un état des lieux daté et signé, avec photos, est prévu à l'entrée.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Je paie par virement ou par chèque, avec reçu, et la commission est fixée par écrit.</w:t>
      </w:r>
    </w:p>
    <w:p>
      <w:r>
        <w:br w:type="page"/>
      </w:r>
    </w:p>
    <w:p>
      <w:pPr>
        <w:spacing w:after="60"/>
      </w:pPr>
      <w:r>
        <w:rPr>
          <w:rFonts w:ascii="Arial" w:cs="Arial" w:eastAsia="Arial" w:hAnsi="Arial"/>
          <w:b/>
          <w:bCs/>
          <w:color w:val="9C6A0E"/>
          <w:spacing w:val="30"/>
          <w:sz w:val="15"/>
          <w:szCs w:val="15"/>
        </w:rPr>
        <w:t xml:space="preserve">CHAPITRE 5 — SE LOGER</w:t>
      </w:r>
    </w:p>
    <w:p>
      <w:pPr>
        <w:pStyle w:val="Heading1"/>
        <w:pBdr>
          <w:bottom w:val="single" w:color="D99A2B" w:sz="12" w:space="6"/>
        </w:pBdr>
        <w:spacing w:after="200"/>
      </w:pPr>
      <w:r>
        <w:rPr>
          <w:rFonts w:ascii="Georgia" w:cs="Georgia" w:eastAsia="Georgia" w:hAnsi="Georgia"/>
          <w:b/>
          <w:bCs/>
          <w:color w:val="1F4E3D"/>
          <w:sz w:val="34"/>
          <w:szCs w:val="34"/>
        </w:rPr>
        <w:t xml:space="preserve">Avant d'acheter</w:t>
      </w:r>
    </w:p>
    <w:p>
      <w:pPr>
        <w:spacing w:after="140" w:line="300"/>
      </w:pP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Avant de vous engager, reprenez la liste qui vous concerne. Si une case reste vide, attendez de pouvoir la cocher.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J'ai loué au moins un an dans la ville, et je sais que je veux y rester.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Je connais les prix réels du quartier, pas seulement ceux des annonces.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Le bien est titré, et j'ai obtenu un certificat de propriété récent à la Conservation foncière.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Le nom du vendeur correspond au titre, et aucune charge n'y est inscrite.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S'il s'agit d'un bien de famille, j'ai l'accord écrit de tous les héritiers.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J'ai choisi moi-même mon notaire.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Les frais d'acquisition m'ont été chiffrés par écrit avant le compromis.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Pour un achat sur plan, j'ai vérifié les réalisations passées du promoteur et l'échéancier.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Les fonds venus de l'étranger passent par la banque, et je garde tous les justificatifs de transfert.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Le prix déclaré dans l'acte est le prix réellement payé.</w:t>
      </w:r>
    </w:p>
    <w:p>
      <w:r>
        <w:br w:type="page"/>
      </w:r>
    </w:p>
    <w:p>
      <w:pPr>
        <w:spacing w:after="60"/>
      </w:pPr>
      <w:r>
        <w:rPr>
          <w:rFonts w:ascii="Arial" w:cs="Arial" w:eastAsia="Arial" w:hAnsi="Arial"/>
          <w:b/>
          <w:bCs/>
          <w:color w:val="9C6A0E"/>
          <w:spacing w:val="30"/>
          <w:sz w:val="15"/>
          <w:szCs w:val="15"/>
        </w:rPr>
        <w:t xml:space="preserve">CHAPITRE 7 — LA SANTÉ</w:t>
      </w:r>
    </w:p>
    <w:p>
      <w:pPr>
        <w:pStyle w:val="Heading1"/>
        <w:pBdr>
          <w:bottom w:val="single" w:color="D99A2B" w:sz="12" w:space="6"/>
        </w:pBdr>
        <w:spacing w:after="200"/>
      </w:pPr>
      <w:r>
        <w:rPr>
          <w:rFonts w:ascii="Georgia" w:cs="Georgia" w:eastAsia="Georgia" w:hAnsi="Georgia"/>
          <w:b/>
          <w:bCs/>
          <w:color w:val="1F4E3D"/>
          <w:sz w:val="34"/>
          <w:szCs w:val="34"/>
        </w:rPr>
        <w:t xml:space="preserve">Check-list santé avant le départ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J'ai choisi ma couverture santé et je sais combien me coûterait une hospitalisation de cinq jours en clinique.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Mon contrat couvre aussi les soins dans mon pays d'origine si je dois y rentrer me soigner.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J'ai vérifié l'âge limite d'adhésion, les exclusions et les délais de carence.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J'ai noté le numéro de la plateforme d'assistance de mon assurance.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Ma ville d'installation dispose des spécialistes dont j'ai ou pourrais avoir besoin.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Mes ordonnances mentionnent le nom des molécules, et j'ai vérifié que mes médicaments sont disponibles au Maroc.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J'emporte au moins trois mois de traitement, dans les boîtes d'origine, en bagage cabine.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J'ai rassemblé mon dossier médical : comptes rendus, derniers bilans, liste des traitements et des allergies.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J'ai les carnets de vaccination de toute la famille.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J'ai fait un bilan dentaire et, si besoin, ophtalmologique avant de partir.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Dans le premier mois, je choisis un médecin généraliste et je repère la clinique d'urgences la plus proche.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J'ai rempli et affiché la fiche « En cas d'urgence ».</w:t>
      </w:r>
    </w:p>
    <w:p>
      <w:r>
        <w:br w:type="page"/>
      </w:r>
    </w:p>
    <w:p>
      <w:pPr>
        <w:spacing w:after="60"/>
      </w:pPr>
      <w:r>
        <w:rPr>
          <w:rFonts w:ascii="Arial" w:cs="Arial" w:eastAsia="Arial" w:hAnsi="Arial"/>
          <w:b/>
          <w:bCs/>
          <w:color w:val="9C6A0E"/>
          <w:spacing w:val="30"/>
          <w:sz w:val="15"/>
          <w:szCs w:val="15"/>
        </w:rPr>
        <w:t xml:space="preserve">CHAPITRE 7 — LA SANTÉ</w:t>
      </w:r>
    </w:p>
    <w:p>
      <w:pPr>
        <w:pStyle w:val="Heading1"/>
        <w:pBdr>
          <w:bottom w:val="single" w:color="D99A2B" w:sz="12" w:space="6"/>
        </w:pBdr>
        <w:spacing w:after="200"/>
      </w:pPr>
      <w:r>
        <w:rPr>
          <w:rFonts w:ascii="Georgia" w:cs="Georgia" w:eastAsia="Georgia" w:hAnsi="Georgia"/>
          <w:b/>
          <w:bCs/>
          <w:color w:val="1F4E3D"/>
          <w:sz w:val="34"/>
          <w:szCs w:val="34"/>
        </w:rPr>
        <w:t xml:space="preserve">Fiche « En cas d'urgence » à afficher chez vous</w:t>
      </w:r>
    </w:p>
    <w:p>
      <w:pPr>
        <w:spacing w:after="140" w:line="300"/>
      </w:pP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Remplissez cette fiche dès votre installation, imprimez-la et collez-la sur le réfrigérateur ou près de la porte d'entrée. En cas d'urgence, ni vous ni la personne qui vous porte secours n'aurez à chercher.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0"/>
        <w:gridCol w:w="4038"/>
      </w:tblGrid>
      <w:tr>
        <w:trPr>
          <w:tblHeader/>
        </w:trPr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1F4E3D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En cas de…</w:t>
            </w:r>
          </w:p>
        </w:tc>
        <w:tc>
          <w:tcPr>
            <w:tcW w:type="dxa" w:w="40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1F4E3D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Numéro</w:t>
            </w:r>
          </w:p>
        </w:tc>
      </w:tr>
      <w:tr>
        <w:trPr>
          <w:cantSplit/>
          <w:trHeight w:val="420" w:hRule="atLeast"/>
        </w:trPr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Urgence médicale (SAMU)</w:t>
            </w:r>
          </w:p>
        </w:tc>
        <w:tc>
          <w:tcPr>
            <w:tcW w:type="dxa" w:w="40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141</w:t>
            </w:r>
          </w:p>
        </w:tc>
      </w:tr>
      <w:tr>
        <w:trPr>
          <w:cantSplit/>
          <w:trHeight w:val="420" w:hRule="atLeast"/>
        </w:trPr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Pompiers et secours</w:t>
            </w:r>
          </w:p>
        </w:tc>
        <w:tc>
          <w:tcPr>
            <w:tcW w:type="dxa" w:w="40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15</w:t>
            </w:r>
          </w:p>
        </w:tc>
      </w:tr>
      <w:tr>
        <w:trPr>
          <w:cantSplit/>
          <w:trHeight w:val="420" w:hRule="atLeast"/>
        </w:trPr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Police en ville</w:t>
            </w:r>
          </w:p>
        </w:tc>
        <w:tc>
          <w:tcPr>
            <w:tcW w:type="dxa" w:w="40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19, ou 112 depuis un portable</w:t>
            </w:r>
          </w:p>
        </w:tc>
      </w:tr>
      <w:tr>
        <w:trPr>
          <w:cantSplit/>
          <w:trHeight w:val="420" w:hRule="atLeast"/>
        </w:trPr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Gendarmerie royale, hors des villes</w:t>
            </w:r>
          </w:p>
        </w:tc>
        <w:tc>
          <w:tcPr>
            <w:tcW w:type="dxa" w:w="40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177</w:t>
            </w:r>
          </w:p>
        </w:tc>
      </w:tr>
      <w:tr>
        <w:trPr>
          <w:cantSplit/>
          <w:trHeight w:val="420" w:hRule="atLeast"/>
        </w:trPr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Centre antipoison (gratuit)</w:t>
            </w:r>
          </w:p>
        </w:tc>
        <w:tc>
          <w:tcPr>
            <w:tcW w:type="dxa" w:w="40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0801 000 180</w:t>
            </w:r>
          </w:p>
        </w:tc>
      </w:tr>
      <w:tr>
        <w:trPr>
          <w:cantSplit/>
          <w:trHeight w:val="420" w:hRule="atLeast"/>
        </w:trPr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Clinique la plus proche avec urgences</w:t>
            </w:r>
          </w:p>
        </w:tc>
        <w:tc>
          <w:tcPr>
            <w:tcW w:type="dxa" w:w="40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Urgences pédiatriques de nuit</w:t>
            </w:r>
          </w:p>
        </w:tc>
        <w:tc>
          <w:tcPr>
            <w:tcW w:type="dxa" w:w="40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Médecin traitant</w:t>
            </w:r>
          </w:p>
        </w:tc>
        <w:tc>
          <w:tcPr>
            <w:tcW w:type="dxa" w:w="40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Plateforme d'assistance de l'assurance, et numéro de contrat</w:t>
            </w:r>
          </w:p>
        </w:tc>
        <w:tc>
          <w:tcPr>
            <w:tcW w:type="dxa" w:w="40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Permanence du consulat</w:t>
            </w:r>
          </w:p>
        </w:tc>
        <w:tc>
          <w:tcPr>
            <w:tcW w:type="dxa" w:w="40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Personne de confiance sur place</w:t>
            </w:r>
          </w:p>
        </w:tc>
        <w:tc>
          <w:tcPr>
            <w:tcW w:type="dxa" w:w="40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Proche à prévenir dans le pays d'origine</w:t>
            </w:r>
          </w:p>
        </w:tc>
        <w:tc>
          <w:tcPr>
            <w:tcW w:type="dxa" w:w="40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Mon adresse (en français)</w:t>
            </w:r>
          </w:p>
        </w:tc>
        <w:tc>
          <w:tcPr>
            <w:tcW w:type="dxa" w:w="40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Mon adresse (en arabe)</w:t>
            </w:r>
          </w:p>
        </w:tc>
        <w:tc>
          <w:tcPr>
            <w:tcW w:type="dxa" w:w="40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Point de repère</w:t>
            </w:r>
          </w:p>
        </w:tc>
        <w:tc>
          <w:tcPr>
            <w:tcW w:type="dxa" w:w="40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/>
            </w:r>
          </w:p>
        </w:tc>
      </w:tr>
    </w:tbl>
    <w:p>
      <w:pPr>
        <w:spacing w:after="120"/>
      </w:pPr>
    </w:p>
    <w:p>
      <w:pPr>
        <w:spacing w:after="140" w:line="300"/>
      </w:pP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Ajoutez au dos de la fiche votre adresse complète, écrite en français et en arabe, avec un point de repère, par exemple « en face de la mosquée » ou « à côté de la pharmacie ». Au Maroc, beaucoup d'adresses se donnent ainsi, et c'est souvent ce qui permet à une ambulance ou à un taxi de vous trouver vite. Indiquez aussi vos allergies et vos traitements en cours.</w:t>
      </w:r>
    </w:p>
    <w:p>
      <w:r>
        <w:br w:type="page"/>
      </w:r>
    </w:p>
    <w:p>
      <w:pPr>
        <w:spacing w:after="60"/>
      </w:pPr>
      <w:r>
        <w:rPr>
          <w:rFonts w:ascii="Arial" w:cs="Arial" w:eastAsia="Arial" w:hAnsi="Arial"/>
          <w:b/>
          <w:bCs/>
          <w:color w:val="9C6A0E"/>
          <w:spacing w:val="30"/>
          <w:sz w:val="15"/>
          <w:szCs w:val="15"/>
        </w:rPr>
        <w:t xml:space="preserve">CHAPITRE 9 — TRAVAILLER ET ENTREPRENDRE</w:t>
      </w:r>
    </w:p>
    <w:p>
      <w:pPr>
        <w:pStyle w:val="Heading1"/>
        <w:pBdr>
          <w:bottom w:val="single" w:color="D99A2B" w:sz="12" w:space="6"/>
        </w:pBdr>
        <w:spacing w:after="200"/>
      </w:pPr>
      <w:r>
        <w:rPr>
          <w:rFonts w:ascii="Georgia" w:cs="Georgia" w:eastAsia="Georgia" w:hAnsi="Georgia"/>
          <w:b/>
          <w:bCs/>
          <w:color w:val="1F4E3D"/>
          <w:sz w:val="34"/>
          <w:szCs w:val="34"/>
        </w:rPr>
        <w:t xml:space="preserve">Avant de signer un contrat de travail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Le contrat est écrit, sur le modèle de contrat de travail d'étranger.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L'employeur a engagé la démarche de visa du contrat auprès du ministère chargé du travail.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Le salaire, sa devise et ses modalités de versement sont précisés.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La protection sociale et l'assurance santé sont clairement définies.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Le logement, le déménagement, la scolarité et les billets d'avion sont réglés, si j'ai négocié un contrat d'expatrié.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J'ai comparé le salaire proposé avec le coût de la vie réel dans la ville concernée.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Je ne commence pas à travailler avant d'avoir le contrat signé en main.</w:t>
      </w:r>
    </w:p>
    <w:p>
      <w:r>
        <w:br w:type="page"/>
      </w:r>
    </w:p>
    <w:p>
      <w:pPr>
        <w:spacing w:after="60"/>
      </w:pPr>
      <w:r>
        <w:rPr>
          <w:rFonts w:ascii="Arial" w:cs="Arial" w:eastAsia="Arial" w:hAnsi="Arial"/>
          <w:b/>
          <w:bCs/>
          <w:color w:val="9C6A0E"/>
          <w:spacing w:val="30"/>
          <w:sz w:val="15"/>
          <w:szCs w:val="15"/>
        </w:rPr>
        <w:t xml:space="preserve">CHAPITRE 9 — TRAVAILLER ET ENTREPRENDRE</w:t>
      </w:r>
    </w:p>
    <w:p>
      <w:pPr>
        <w:pStyle w:val="Heading1"/>
        <w:pBdr>
          <w:bottom w:val="single" w:color="D99A2B" w:sz="12" w:space="6"/>
        </w:pBdr>
        <w:spacing w:after="200"/>
      </w:pPr>
      <w:r>
        <w:rPr>
          <w:rFonts w:ascii="Georgia" w:cs="Georgia" w:eastAsia="Georgia" w:hAnsi="Georgia"/>
          <w:b/>
          <w:bCs/>
          <w:color w:val="1F4E3D"/>
          <w:sz w:val="34"/>
          <w:szCs w:val="34"/>
        </w:rPr>
        <w:t xml:space="preserve">Avant de lancer son activité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J'ai testé mon offre auprès de vrais clients marocains, à des prix marocains.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J'ai choisi la forme juridique adaptée avec l'aide d'un comptable ou d'un avocat.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J'ai choisi mon comptable avant la création, avec un devis écrit.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Mon capital est transféré par virement en devises, et je garde les justificatifs.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Mon activité est cohérente avec mon titre de séjour et ma situation fiscale.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J'ai une réserve de trésorerie pour absorber plusieurs mois de retards de paiement.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Mes premiers contrats et devis sont écrits, avec délais de paiement et pénalités.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J'ai commencé à construire mon réseau : chambre de commerce, clubs, associations professionnelles.</w:t>
      </w:r>
    </w:p>
    <w:p>
      <w:r>
        <w:br w:type="page"/>
      </w:r>
    </w:p>
    <w:p>
      <w:pPr>
        <w:spacing w:after="60"/>
      </w:pPr>
      <w:r>
        <w:rPr>
          <w:rFonts w:ascii="Arial" w:cs="Arial" w:eastAsia="Arial" w:hAnsi="Arial"/>
          <w:b/>
          <w:bCs/>
          <w:color w:val="9C6A0E"/>
          <w:spacing w:val="30"/>
          <w:sz w:val="15"/>
          <w:szCs w:val="15"/>
        </w:rPr>
        <w:t xml:space="preserve">CHAPITRE 10 — LES SERVICES PUBLICS AU QUOTIDIEN</w:t>
      </w:r>
    </w:p>
    <w:p>
      <w:pPr>
        <w:pStyle w:val="Heading1"/>
        <w:pBdr>
          <w:bottom w:val="single" w:color="D99A2B" w:sz="12" w:space="6"/>
        </w:pBdr>
        <w:spacing w:after="200"/>
      </w:pPr>
      <w:r>
        <w:rPr>
          <w:rFonts w:ascii="Georgia" w:cs="Georgia" w:eastAsia="Georgia" w:hAnsi="Georgia"/>
          <w:b/>
          <w:bCs/>
          <w:color w:val="1F4E3D"/>
          <w:sz w:val="34"/>
          <w:szCs w:val="34"/>
        </w:rPr>
        <w:t xml:space="preserve">Check-list des premières semaines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J'ai une carte SIM marocaine, et j'ai gardé mon numéro européen actif.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Je sais au nom de qui sont les compteurs, et les dernières factures sont soldées.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Je sais où et comment payer mes factures d'eau, d'électricité et d'internet.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Ma connexion internet est installée, avec une solution de secours si je télétravaille.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J'ai une adresse fiable pour le courrier, ou une boîte postale.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J'ai créé mes comptes en ligne et j'ai repéré Idarati.ma et Chikaya.ma.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J'ai repéré mon commissariat, ma commune et mon moqaddem.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Je range tous mes reçus et récépissés dans un même dossier.</w:t>
      </w:r>
    </w:p>
    <w:p>
      <w:r>
        <w:br w:type="page"/>
      </w:r>
    </w:p>
    <w:p>
      <w:pPr>
        <w:spacing w:after="60"/>
      </w:pPr>
      <w:r>
        <w:rPr>
          <w:rFonts w:ascii="Arial" w:cs="Arial" w:eastAsia="Arial" w:hAnsi="Arial"/>
          <w:b/>
          <w:bCs/>
          <w:color w:val="9C6A0E"/>
          <w:spacing w:val="30"/>
          <w:sz w:val="15"/>
          <w:szCs w:val="15"/>
        </w:rPr>
        <w:t xml:space="preserve">CHAPITRE 12 — LES 30 PIÈGES À ÉVITER</w:t>
      </w:r>
    </w:p>
    <w:p>
      <w:pPr>
        <w:pStyle w:val="Heading1"/>
        <w:pBdr>
          <w:bottom w:val="single" w:color="D99A2B" w:sz="12" w:space="6"/>
        </w:pBdr>
        <w:spacing w:after="200"/>
      </w:pPr>
      <w:r>
        <w:rPr>
          <w:rFonts w:ascii="Georgia" w:cs="Georgia" w:eastAsia="Georgia" w:hAnsi="Georgia"/>
          <w:b/>
          <w:bCs/>
          <w:color w:val="1F4E3D"/>
          <w:sz w:val="34"/>
          <w:szCs w:val="34"/>
        </w:rPr>
        <w:t xml:space="preserve">L'auto-diagnostic : quels pièges vous guettent ?</w:t>
      </w:r>
    </w:p>
    <w:p>
      <w:pPr>
        <w:spacing w:after="140" w:line="300"/>
      </w:pP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Cochez chaque piège qui correspond à votre situation ou à votre projet actuel. Pour chacun, relisez en priorité le chapitre indiqué.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7238"/>
        <w:gridCol w:w="1800"/>
      </w:tblGrid>
      <w:tr>
        <w:trPr>
          <w:tblHeader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1F4E3D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/>
            </w:r>
          </w:p>
        </w:tc>
        <w:tc>
          <w:tcPr>
            <w:tcW w:type="dxa" w:w="72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1F4E3D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Le piège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1F4E3D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Chapitre à relire</w:t>
            </w:r>
          </w:p>
        </w:tc>
      </w:tr>
      <w:tr>
        <w:trPr>
          <w:cantSplit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1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72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1. Partir sur un coup de cœur de vacances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1 et 2</w:t>
            </w:r>
          </w:p>
        </w:tc>
      </w:tr>
      <w:tr>
        <w:trPr>
          <w:cantSplit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1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72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2. Choisir sa ville sur le seul climat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1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72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3. Ne pas constituer son dossier avant de partir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1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72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4. Négliger l'assurance santé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4 et 7</w:t>
            </w:r>
          </w:p>
        </w:tc>
      </w:tr>
      <w:tr>
        <w:trPr>
          <w:cantSplit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1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72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5. Choisir la ville avant l'école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8</w:t>
            </w:r>
          </w:p>
        </w:tc>
      </w:tr>
      <w:tr>
        <w:trPr>
          <w:cantSplit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1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72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6. Laisser filer les trois mois de séjour touristique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1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72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7. Laisser expirer sa carte de séjour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1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72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8. Oublier l'échange du permis dans les douze mois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1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72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9. Prêter sa voiture en admission temporaire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1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72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10. Payer des intermédiaires qui promettent l'impossible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3 et 10</w:t>
            </w:r>
          </w:p>
        </w:tc>
      </w:tr>
      <w:tr>
        <w:trPr>
          <w:cantSplit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1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72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11. Signer un bail depuis l'étranger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5</w:t>
            </w:r>
          </w:p>
        </w:tc>
      </w:tr>
      <w:tr>
        <w:trPr>
          <w:cantSplit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1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72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12. Payer avant d'avoir visité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5</w:t>
            </w:r>
          </w:p>
        </w:tc>
      </w:tr>
      <w:tr>
        <w:trPr>
          <w:cantSplit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1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72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13. Faire confiance à l'intermédiaire sans voir le propriétaire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5</w:t>
            </w:r>
          </w:p>
        </w:tc>
      </w:tr>
      <w:tr>
        <w:trPr>
          <w:cantSplit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1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72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14. Signer sans légalisation ni état des lieux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5</w:t>
            </w:r>
          </w:p>
        </w:tc>
      </w:tr>
      <w:tr>
        <w:trPr>
          <w:cantSplit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1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72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15. Acheter trop vite, ou un bien non titré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5</w:t>
            </w:r>
          </w:p>
        </w:tc>
      </w:tr>
      <w:tr>
        <w:trPr>
          <w:cantSplit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1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72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16. Croire que tout est moins cher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1 et 4</w:t>
            </w:r>
          </w:p>
        </w:tc>
      </w:tr>
      <w:tr>
        <w:trPr>
          <w:cantSplit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1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72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17. Ignorer la marge de change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4 et 6</w:t>
            </w:r>
          </w:p>
        </w:tc>
      </w:tr>
      <w:tr>
        <w:trPr>
          <w:cantSplit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1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72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18. Ne pas garder les justificatifs de transfert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5 et 6</w:t>
            </w:r>
          </w:p>
        </w:tc>
      </w:tr>
      <w:tr>
        <w:trPr>
          <w:cantSplit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1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72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19. Laisser sa pension sans la convertir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6</w:t>
            </w:r>
          </w:p>
        </w:tc>
      </w:tr>
      <w:tr>
        <w:trPr>
          <w:cantSplit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1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72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20. Ne pas clarifier sa résidence fiscale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6</w:t>
            </w:r>
          </w:p>
        </w:tc>
      </w:tr>
      <w:tr>
        <w:trPr>
          <w:cantSplit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1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72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21. Commencer à travailler sur un accord verbal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1 et 9</w:t>
            </w:r>
          </w:p>
        </w:tc>
      </w:tr>
      <w:tr>
        <w:trPr>
          <w:cantSplit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1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72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22. Travailler sans contrat visé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3 et 9</w:t>
            </w:r>
          </w:p>
        </w:tc>
      </w:tr>
      <w:tr>
        <w:trPr>
          <w:cantSplit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1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72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23. Télétravailler sans cohérence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6 et 9</w:t>
            </w:r>
          </w:p>
        </w:tc>
      </w:tr>
      <w:tr>
        <w:trPr>
          <w:cantSplit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1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72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24. Lancer une activité aux prix européens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9</w:t>
            </w:r>
          </w:p>
        </w:tc>
      </w:tr>
      <w:tr>
        <w:trPr>
          <w:cantSplit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1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72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25. Sous-estimer les délais de paiement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9</w:t>
            </w:r>
          </w:p>
        </w:tc>
      </w:tr>
      <w:tr>
        <w:trPr>
          <w:cantSplit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1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72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26. Vivre comme un vacancier les premiers mois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1 et 3</w:t>
            </w:r>
          </w:p>
        </w:tc>
      </w:tr>
      <w:tr>
        <w:trPr>
          <w:cantSplit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1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72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27. Ne vivre qu'entre étrangers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11</w:t>
            </w:r>
          </w:p>
        </w:tc>
      </w:tr>
      <w:tr>
        <w:trPr>
          <w:cantSplit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1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72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28. Sous-estimer l'isolement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1 et 11</w:t>
            </w:r>
          </w:p>
        </w:tc>
      </w:tr>
      <w:tr>
        <w:trPr>
          <w:cantSplit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1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72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29. Ignorer les codes du ramadan et des fêtes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11</w:t>
            </w:r>
          </w:p>
        </w:tc>
      </w:tr>
      <w:tr>
        <w:trPr>
          <w:cantSplit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1" w14:font="Segoe UI Symbol"/>
                  <w14:uncheckedState w14:val="2610" w14:font="Segoe UI Symbol"/>
                </w14:checkbox>
              </w:sdtPr>
              <w:sdtContent>
                <w:r>
                  <w:sym w:char="2610" w:font="Segoe UI Symbol"/>
                </w:r>
              </w:sdtContent>
            </w:sdt>
          </w:p>
        </w:tc>
        <w:tc>
          <w:tcPr>
            <w:tcW w:type="dxa" w:w="7238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30. S'énerver au guichet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CFE1D6" w:sz="4"/>
              <w:right w:val="none" w:color="FFFFFF" w:sz="0"/>
            </w:tcBorders>
            <w:shd w:fill="F3F8F4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line="260"/>
            </w:pPr>
            <w:r>
              <w:rPr>
                <w:rFonts w:ascii="Arial" w:cs="Arial" w:eastAsia="Arial" w:hAnsi="Arial"/>
                <w:b w:val="false"/>
                <w:bCs w:val="false"/>
                <w:color w:val="1F2A2E"/>
                <w:sz w:val="17"/>
                <w:szCs w:val="17"/>
              </w:rPr>
              <w:t xml:space="preserve">3 et 10</w:t>
            </w:r>
          </w:p>
        </w:tc>
      </w:tr>
    </w:tbl>
    <w:p>
      <w:pPr>
        <w:spacing w:after="120"/>
      </w:pPr>
    </w:p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9C6A0E"/>
          <w:sz w:val="22"/>
          <w:szCs w:val="22"/>
        </w:rPr>
        <w:t xml:space="preserve">Vos résultats</w:t>
      </w:r>
    </w:p>
    <w:p>
      <w:pPr>
        <w:spacing w:after="140" w:line="300"/>
      </w:pPr>
      <w:r>
        <w:rPr>
          <w:rFonts w:ascii="Georgia" w:cs="Georgia" w:eastAsia="Georgia" w:hAnsi="Georgia"/>
          <w:b/>
          <w:bCs/>
          <w:color w:val="1F4E3D"/>
          <w:sz w:val="21"/>
          <w:szCs w:val="21"/>
        </w:rPr>
        <w:t xml:space="preserve">De zéro à cinq cases cochées :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 votre préparation est solide. Relisez les chapitres concernés, et gardez ce chapitre sous la main pendant vos premiers mois.</w:t>
      </w:r>
    </w:p>
    <w:p>
      <w:pPr>
        <w:spacing w:after="140" w:line="300"/>
      </w:pPr>
      <w:r>
        <w:rPr>
          <w:rFonts w:ascii="Georgia" w:cs="Georgia" w:eastAsia="Georgia" w:hAnsi="Georgia"/>
          <w:b/>
          <w:bCs/>
          <w:color w:val="1F4E3D"/>
          <w:sz w:val="21"/>
          <w:szCs w:val="21"/>
        </w:rPr>
        <w:t xml:space="preserve">Six à quinze cases cochées :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 votre projet est bien engagé, mais plusieurs points restent fragiles. Traitez-les dans l'ordre du livre, en commençant par les papiers et le logement.</w:t>
      </w:r>
    </w:p>
    <w:p>
      <w:pPr>
        <w:spacing w:after="140" w:line="300"/>
      </w:pPr>
      <w:r>
        <w:rPr>
          <w:rFonts w:ascii="Georgia" w:cs="Georgia" w:eastAsia="Georgia" w:hAnsi="Georgia"/>
          <w:b/>
          <w:bCs/>
          <w:color w:val="1F4E3D"/>
          <w:sz w:val="21"/>
          <w:szCs w:val="21"/>
        </w:rPr>
        <w:t xml:space="preserve">Plus de quinze cases cochées :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 ne renoncez pas, mais prenez le temps de vous préparer. Chaque case cochée aujourd'hui est une erreur évitée demain. C'est exactement pour cela que ce livre existe.</w:t>
      </w:r>
    </w:p>
    <w:p>
      <w:r>
        <w:br w:type="page"/>
      </w:r>
    </w:p>
    <w:p>
      <w:pPr>
        <w:spacing w:after="60"/>
      </w:pPr>
      <w:r>
        <w:rPr>
          <w:rFonts w:ascii="Arial" w:cs="Arial" w:eastAsia="Arial" w:hAnsi="Arial"/>
          <w:b/>
          <w:bCs/>
          <w:color w:val="9C6A0E"/>
          <w:spacing w:val="30"/>
          <w:sz w:val="15"/>
          <w:szCs w:val="15"/>
        </w:rPr>
        <w:t xml:space="preserve">CHAPITRE 14 — LE RÉTROPLANNING</w:t>
      </w:r>
    </w:p>
    <w:p>
      <w:pPr>
        <w:pStyle w:val="Heading1"/>
        <w:pBdr>
          <w:bottom w:val="single" w:color="D99A2B" w:sz="12" w:space="6"/>
        </w:pBdr>
        <w:spacing w:after="200"/>
      </w:pPr>
      <w:r>
        <w:rPr>
          <w:rFonts w:ascii="Georgia" w:cs="Georgia" w:eastAsia="Georgia" w:hAnsi="Georgia"/>
          <w:b/>
          <w:bCs/>
          <w:color w:val="1F4E3D"/>
          <w:sz w:val="34"/>
          <w:szCs w:val="34"/>
        </w:rPr>
        <w:t xml:space="preserve">Rétroplanning — De J-180 à J-120 : décider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Faire le test d'auto-évaluation du chapitre 1 et l'auto-diagnostic des pièges du chapitre 12.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Fixer ses trois critères non négociables et choisir deux villes finalistes. (Chapitre 2)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Passer au moins un mois hors saison dans ces villes, en location, en vivant comme un habitant. (Chapitre 2)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Bâtir un budget réaliste sur les gros postes, avec une marge de 10 à 20 %. (Chapitre 4)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Identifier son motif de séjour et la catégorie de carte de séjour correspondante. (Chapitre 3)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Choisir et souscrire son assurance santé. (Chapitre 7)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Constituer une épargne de précaution de plusieurs mois de dépenses. (Chapitre 4)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/>
          <w:bCs/>
          <w:color w:val="1F4E3D"/>
          <w:sz w:val="21"/>
          <w:szCs w:val="21"/>
        </w:rPr>
        <w:t xml:space="preserve">Retraités :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 vérifier quel pays imposera votre pension selon la convention fiscale, et vous renseigner sur votre couverture santé. (Chapitres 6 et 7)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/>
          <w:bCs/>
          <w:color w:val="1F4E3D"/>
          <w:sz w:val="21"/>
          <w:szCs w:val="21"/>
        </w:rPr>
        <w:t xml:space="preserve">Actifs :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 négocier le contrat d'expatrié ou le télétravail, et construire un montage cohérent entre séjour, fiscalité et protection sociale. (Chapitres 6 et 9)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/>
          <w:bCs/>
          <w:color w:val="1F4E3D"/>
          <w:sz w:val="21"/>
          <w:szCs w:val="21"/>
        </w:rPr>
        <w:t xml:space="preserve">Entrepreneurs :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 tester l'offre auprès de clients marocains, et choisir un comptable. (Chapitre 9)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/>
          <w:bCs/>
          <w:color w:val="1F4E3D"/>
          <w:sz w:val="21"/>
          <w:szCs w:val="21"/>
        </w:rPr>
        <w:t xml:space="preserve">MRE et binationaux :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 clarifier vos documents marocains, et parler en famille des attentes de chacun. (Chapitres 3 et 11)</w:t>
      </w:r>
    </w:p>
    <w:p>
      <w:r>
        <w:br w:type="page"/>
      </w:r>
    </w:p>
    <w:p>
      <w:pPr>
        <w:spacing w:after="60"/>
      </w:pPr>
      <w:r>
        <w:rPr>
          <w:rFonts w:ascii="Arial" w:cs="Arial" w:eastAsia="Arial" w:hAnsi="Arial"/>
          <w:b/>
          <w:bCs/>
          <w:color w:val="9C6A0E"/>
          <w:spacing w:val="30"/>
          <w:sz w:val="15"/>
          <w:szCs w:val="15"/>
        </w:rPr>
        <w:t xml:space="preserve">CHAPITRE 14 — LE RÉTROPLANNING</w:t>
      </w:r>
    </w:p>
    <w:p>
      <w:pPr>
        <w:pStyle w:val="Heading1"/>
        <w:pBdr>
          <w:bottom w:val="single" w:color="D99A2B" w:sz="12" w:space="6"/>
        </w:pBdr>
        <w:spacing w:after="200"/>
      </w:pPr>
      <w:r>
        <w:rPr>
          <w:rFonts w:ascii="Georgia" w:cs="Georgia" w:eastAsia="Georgia" w:hAnsi="Georgia"/>
          <w:b/>
          <w:bCs/>
          <w:color w:val="1F4E3D"/>
          <w:sz w:val="34"/>
          <w:szCs w:val="34"/>
        </w:rPr>
        <w:t xml:space="preserve">Rétroplanning — De J-120 à J-60 : constituer ses dossiers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Réunir les actes d'état civil : naissance, mariage, livret de famille. (Chapitre 3)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Demander l'extrait de casier judiciaire de votre pays, pour la carte de séjour. (Chapitre 3)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Vérifier pour chaque document s'il faut une apostille, et l'obtenir dans votre pays. (Chapitre 3)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Rassembler les diplômes et, si besoin, les faire traduire par un traducteur assermenté au Maroc à l'arrivée. (Chapitre 3)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Constituer le dossier médical complet et faire rédiger les ordonnances avec le nom des molécules. (Chapitre 7)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Faire un bilan dentaire et, si besoin, ophtalmologique. (Chapitre 7)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Ouvrir un compte en dirhams convertibles depuis l'Europe, si possible. (Chapitre 6)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Scanner tous vos documents et les ranger dans un espace sécurisé en ligne.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/>
          <w:bCs/>
          <w:color w:val="1F4E3D"/>
          <w:sz w:val="21"/>
          <w:szCs w:val="21"/>
        </w:rPr>
        <w:t xml:space="preserve">Familles :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 réunir les bulletins, certificats de scolarité et carnets de vaccination, et suivre les réponses des écoles. (Chapitre 8)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/>
          <w:bCs/>
          <w:color w:val="1F4E3D"/>
          <w:sz w:val="21"/>
          <w:szCs w:val="21"/>
        </w:rPr>
        <w:t xml:space="preserve">Couples non mariés ou mariages mixtes :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 vérifier les conséquences de votre situation et engager, le cas échéant, le dossier de certificat de capacité à mariage, qui peut prendre de trois mois à deux ans. (Chapitre 3)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/>
          <w:bCs/>
          <w:color w:val="1F4E3D"/>
          <w:sz w:val="21"/>
          <w:szCs w:val="21"/>
        </w:rPr>
        <w:t xml:space="preserve">Actifs salariés :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 vérifier que l'employeur a engagé l'attestation de l'ANAPEC et la demande de visa du contrat. (Chapitre 9)</w:t>
      </w:r>
    </w:p>
    <w:p>
      <w:r>
        <w:br w:type="page"/>
      </w:r>
    </w:p>
    <w:p>
      <w:pPr>
        <w:spacing w:after="60"/>
      </w:pPr>
      <w:r>
        <w:rPr>
          <w:rFonts w:ascii="Arial" w:cs="Arial" w:eastAsia="Arial" w:hAnsi="Arial"/>
          <w:b/>
          <w:bCs/>
          <w:color w:val="9C6A0E"/>
          <w:spacing w:val="30"/>
          <w:sz w:val="15"/>
          <w:szCs w:val="15"/>
        </w:rPr>
        <w:t xml:space="preserve">CHAPITRE 14 — LE RÉTROPLANNING</w:t>
      </w:r>
    </w:p>
    <w:p>
      <w:pPr>
        <w:pStyle w:val="Heading1"/>
        <w:pBdr>
          <w:bottom w:val="single" w:color="D99A2B" w:sz="12" w:space="6"/>
        </w:pBdr>
        <w:spacing w:after="200"/>
      </w:pPr>
      <w:r>
        <w:rPr>
          <w:rFonts w:ascii="Georgia" w:cs="Georgia" w:eastAsia="Georgia" w:hAnsi="Georgia"/>
          <w:b/>
          <w:bCs/>
          <w:color w:val="1F4E3D"/>
          <w:sz w:val="34"/>
          <w:szCs w:val="34"/>
        </w:rPr>
        <w:t xml:space="preserve">Rétroplanning — De J-60 à J-30 : organiser le départ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Décider du sort de vos meubles : déménagement, stockage ou vente. (Chapitre 13)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Décider pour la voiture : revente avant le départ, admission temporaire ou importation définitive, après chiffrage. (Chapitre 3)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Réserver un logement provisoire pour un à deux mois dans le quartier visé. (Chapitre 5)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Donner les préavis : logement, contrats, abonnements.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Prévenir l'administration fiscale de votre pays de votre changement de résidence. (Chapitre 6)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Informer vos caisses de retraite, votre banque et vos assurances de votre nouvelle adresse. (Chapitre 6)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Réserver le billet d'avion et prévoir le transport à l'arrivée.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/>
          <w:bCs/>
          <w:color w:val="1F4E3D"/>
          <w:sz w:val="21"/>
          <w:szCs w:val="21"/>
        </w:rPr>
        <w:t xml:space="preserve">Retraités :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 préparer le transfert de la pension vers le compte marocain. (Chapitre 6)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/>
          <w:bCs/>
          <w:color w:val="1F4E3D"/>
          <w:sz w:val="21"/>
          <w:szCs w:val="21"/>
        </w:rPr>
        <w:t xml:space="preserve">Familles :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 confirmer par écrit l'inscription scolaire et payer les droits de première inscription. (Chapitre 8)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/>
          <w:bCs/>
          <w:color w:val="1F4E3D"/>
          <w:sz w:val="21"/>
          <w:szCs w:val="21"/>
        </w:rPr>
        <w:t xml:space="preserve">MRE rentrant définitivement :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 se renseigner auprès de la douane sur les régimes liés au changement de résidence pour vos biens et votre véhicule. (Chapitre 3)</w:t>
      </w:r>
    </w:p>
    <w:p>
      <w:r>
        <w:br w:type="page"/>
      </w:r>
    </w:p>
    <w:p>
      <w:pPr>
        <w:spacing w:after="60"/>
      </w:pPr>
      <w:r>
        <w:rPr>
          <w:rFonts w:ascii="Arial" w:cs="Arial" w:eastAsia="Arial" w:hAnsi="Arial"/>
          <w:b/>
          <w:bCs/>
          <w:color w:val="9C6A0E"/>
          <w:spacing w:val="30"/>
          <w:sz w:val="15"/>
          <w:szCs w:val="15"/>
        </w:rPr>
        <w:t xml:space="preserve">CHAPITRE 14 — LE RÉTROPLANNING</w:t>
      </w:r>
    </w:p>
    <w:p>
      <w:pPr>
        <w:pStyle w:val="Heading1"/>
        <w:pBdr>
          <w:bottom w:val="single" w:color="D99A2B" w:sz="12" w:space="6"/>
        </w:pBdr>
        <w:spacing w:after="200"/>
      </w:pPr>
      <w:r>
        <w:rPr>
          <w:rFonts w:ascii="Georgia" w:cs="Georgia" w:eastAsia="Georgia" w:hAnsi="Georgia"/>
          <w:b/>
          <w:bCs/>
          <w:color w:val="1F4E3D"/>
          <w:sz w:val="34"/>
          <w:szCs w:val="34"/>
        </w:rPr>
        <w:t xml:space="preserve">Rétroplanning — De J-30 au départ : partir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Rassembler tous les originaux dans un porte-documents, en bagage cabine.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Emporter au moins trois mois de traitement, dans les boîtes d'origine, avec les ordonnances. (Chapitre 7)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Vérifier la validité du passeport, et du permis de conduire. (Chapitre 3)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Garder votre numéro de téléphone européen actif. (Chapitre 10)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Prévoir de quoi vivre les premières semaines : carte bancaire internationale et un peu de dirhams à l'arrivée. (Chapitre 6)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Transmettre à un proche une copie de vos documents et les coordonnées de votre logement provisoire.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Préparer vos enfants au changement : photos de l'école, du quartier, de la future chambre. (Chapitre 8)</w:t>
      </w:r>
    </w:p>
    <w:p>
      <w:r>
        <w:br w:type="page"/>
      </w:r>
    </w:p>
    <w:p>
      <w:pPr>
        <w:spacing w:after="60"/>
      </w:pPr>
      <w:r>
        <w:rPr>
          <w:rFonts w:ascii="Arial" w:cs="Arial" w:eastAsia="Arial" w:hAnsi="Arial"/>
          <w:b/>
          <w:bCs/>
          <w:color w:val="9C6A0E"/>
          <w:spacing w:val="30"/>
          <w:sz w:val="15"/>
          <w:szCs w:val="15"/>
        </w:rPr>
        <w:t xml:space="preserve">CHAPITRE 14 — LE RÉTROPLANNING</w:t>
      </w:r>
    </w:p>
    <w:p>
      <w:pPr>
        <w:pStyle w:val="Heading1"/>
        <w:pBdr>
          <w:bottom w:val="single" w:color="D99A2B" w:sz="12" w:space="6"/>
        </w:pBdr>
        <w:spacing w:after="200"/>
      </w:pPr>
      <w:r>
        <w:rPr>
          <w:rFonts w:ascii="Georgia" w:cs="Georgia" w:eastAsia="Georgia" w:hAnsi="Georgia"/>
          <w:b/>
          <w:bCs/>
          <w:color w:val="1F4E3D"/>
          <w:sz w:val="34"/>
          <w:szCs w:val="34"/>
        </w:rPr>
        <w:t xml:space="preserve">Rétroplanning — De J à J+30 : s'installer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Acheter une carte SIM locale, avec votre passeport. (Chapitre 10)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Noter la date d'entrée tamponnée sur le passeport : le compte à rebours des trois mois commence. (Chapitre 3)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Faire certifier quelques copies de vos documents essentiels, tout en vérifiant sur Idarati.ma ce que chaque démarche exige réellement. (Chapitres 3 et 10)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Chercher le logement définitif sur place : gardiens, bouche-à-oreille, visites de jour et de soir. (Chapitre 5)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Signer le bail, faire légaliser les signatures et dresser l'état des lieux. (Chapitre 5)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Déposer la demande de carte de séjour au service des étrangers, et garder le récépissé. (Chapitre 3)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S'inscrire au registre des ressortissants de votre consulat. (Chapitre 3)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Se présenter au moqaddem du quartier. (Chapitre 10)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Choisir un médecin généraliste et repérer la clinique d'urgences la plus proche. (Chapitre 7)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Remplir et afficher la fiche « En cas d'urgence ». (Chapitre 7)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/>
          <w:bCs/>
          <w:color w:val="1F4E3D"/>
          <w:sz w:val="21"/>
          <w:szCs w:val="21"/>
        </w:rPr>
        <w:t xml:space="preserve">Familles :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 rencontrer l'enseignant principal et inscrire les enfants à une activité en dehors de l'école. (Chapitre 8)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/>
          <w:bCs/>
          <w:color w:val="1F4E3D"/>
          <w:sz w:val="21"/>
          <w:szCs w:val="21"/>
        </w:rPr>
        <w:t xml:space="preserve">Actifs :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 vérifier que le contrat est bien visé avant de commencer à travailler. (Chapitre 9)</w:t>
      </w:r>
    </w:p>
    <w:p>
      <w:r>
        <w:br w:type="page"/>
      </w:r>
    </w:p>
    <w:p>
      <w:pPr>
        <w:spacing w:after="60"/>
      </w:pPr>
      <w:r>
        <w:rPr>
          <w:rFonts w:ascii="Arial" w:cs="Arial" w:eastAsia="Arial" w:hAnsi="Arial"/>
          <w:b/>
          <w:bCs/>
          <w:color w:val="9C6A0E"/>
          <w:spacing w:val="30"/>
          <w:sz w:val="15"/>
          <w:szCs w:val="15"/>
        </w:rPr>
        <w:t xml:space="preserve">CHAPITRE 14 — LE RÉTROPLANNING</w:t>
      </w:r>
    </w:p>
    <w:p>
      <w:pPr>
        <w:pStyle w:val="Heading1"/>
        <w:pBdr>
          <w:bottom w:val="single" w:color="D99A2B" w:sz="12" w:space="6"/>
        </w:pBdr>
        <w:spacing w:after="200"/>
      </w:pPr>
      <w:r>
        <w:rPr>
          <w:rFonts w:ascii="Georgia" w:cs="Georgia" w:eastAsia="Georgia" w:hAnsi="Georgia"/>
          <w:b/>
          <w:bCs/>
          <w:color w:val="1F4E3D"/>
          <w:sz w:val="34"/>
          <w:szCs w:val="34"/>
        </w:rPr>
        <w:t xml:space="preserve">Rétroplanning — De J+30 à J+90 : s'ancrer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Faire transférer les compteurs ou obtenir la preuve que les factures sont soldées. (Chapitres 5 et 10)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Faire installer internet, avec une solution de secours si vous télétravaillez. (Chapitre 10)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Ouvrir le compte ordinaire en dirhams pour les dépenses courantes. (Chapitre 6)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Déposer la demande d'échange du permis de conduire, dès la carte de séjour ou son récépissé obtenus. (Chapitre 3)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Noter la date d'expiration de la carte de séjour avec un rappel à quatre-vingt-dix jours. (Chapitre 3)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S'inscrire à une activité régulière : sport, association, cours de darija. (Chapitre 11)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Choisir ses commerçants habituels et commencer son carnet d'adresses. (Chapitre 13)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Faire le point sur le budget réel des trois premiers mois, et l'ajuster. (Chapitre 4)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Noter les fêtes de l'année dans son agenda. (Chapitre 11)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/>
          <w:bCs/>
          <w:color w:val="1F4E3D"/>
          <w:sz w:val="21"/>
          <w:szCs w:val="21"/>
        </w:rPr>
        <w:t xml:space="preserve">Retraités :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 vérifier la conversion de la pension en dirhams et prévoir de demander l'attestation bancaire en janvier. (Chapitre 6)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/>
          <w:bCs/>
          <w:color w:val="1F4E3D"/>
          <w:sz w:val="21"/>
          <w:szCs w:val="21"/>
        </w:rPr>
        <w:t xml:space="preserve">Entrepreneurs :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 lancer la création de la société avec le comptable, capital transféré en devises. (Chapitre 9)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/>
          <w:bCs/>
          <w:color w:val="1F4E3D"/>
          <w:sz w:val="21"/>
          <w:szCs w:val="21"/>
        </w:rPr>
        <w:t xml:space="preserve">Tous :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 demander l'attestation de résidence fiscale marocaine, et prendre rendez-vous avec un conseiller fiscal pour la première déclaration. (Chapitre 6)</w:t>
      </w:r>
    </w:p>
    <w:p>
      <w:r>
        <w:br w:type="page"/>
      </w:r>
    </w:p>
    <w:p>
      <w:pPr>
        <w:spacing w:after="60"/>
      </w:pPr>
      <w:r>
        <w:rPr>
          <w:rFonts w:ascii="Arial" w:cs="Arial" w:eastAsia="Arial" w:hAnsi="Arial"/>
          <w:b/>
          <w:bCs/>
          <w:color w:val="9C6A0E"/>
          <w:spacing w:val="30"/>
          <w:sz w:val="15"/>
          <w:szCs w:val="15"/>
        </w:rPr>
        <w:t xml:space="preserve">CHAPITRE 14 — LE RÉTROPLANNING</w:t>
      </w:r>
    </w:p>
    <w:p>
      <w:pPr>
        <w:pStyle w:val="Heading1"/>
        <w:pBdr>
          <w:bottom w:val="single" w:color="D99A2B" w:sz="12" w:space="6"/>
        </w:pBdr>
        <w:spacing w:after="200"/>
      </w:pPr>
      <w:r>
        <w:rPr>
          <w:rFonts w:ascii="Georgia" w:cs="Georgia" w:eastAsia="Georgia" w:hAnsi="Georgia"/>
          <w:b/>
          <w:bCs/>
          <w:color w:val="1F4E3D"/>
          <w:sz w:val="34"/>
          <w:szCs w:val="34"/>
        </w:rPr>
        <w:t xml:space="preserve">Votre check-list des 72 dernières heures</w:t>
      </w:r>
    </w:p>
    <w:p>
      <w:pPr>
        <w:spacing w:after="140" w:line="300"/>
      </w:pP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À imprimer ou à cocher sur votre téléphone, trois jours avant le départ.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Passeports et cartes nationales valides pour toute la famille, avec des copies papier et numériques.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Le dossier administratif complet dans le bagage cabine : actes de naissance et de mariage, diplômes, casier judiciaire, traduits et légalisés ou apostillés si nécessaire (chapitre 3).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Dossiers scolaires, carnets de vaccination et ordonnances en cours (chapitres 7 et 8).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Une attestation d'assurance santé valable dès le jour de l'arrivée (chapitre 7).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Pour la voiture : carte grise, carte verte avec la case « MA » non rayée, permis de conduire (chapitre 3).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Si vous emportez une somme importante en espèces, de quoi la déclarer à la douane à l'arrivée (chapitre 3).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Votre banque prévenue du départ, vos cartes actives à l'étranger, votre accès en ligne testé (chapitre 6).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Le logement provisoire du premier mois réservé, avec l'adresse et le contact notés (chapitre 5).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Les numéros utiles enregistrés : consulat, assurance, urgences (chapitres 7 et 10).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Votre plan B écrit : le budget de repli et la solution de retour (chapitre 14).</w:t>
      </w:r>
    </w:p>
    <w:p>
      <w:r>
        <w:br w:type="page"/>
      </w:r>
    </w:p>
    <w:p>
      <w:pPr>
        <w:spacing w:after="60"/>
      </w:pPr>
      <w:r>
        <w:rPr>
          <w:rFonts w:ascii="Arial" w:cs="Arial" w:eastAsia="Arial" w:hAnsi="Arial"/>
          <w:b/>
          <w:bCs/>
          <w:color w:val="9C6A0E"/>
          <w:spacing w:val="30"/>
          <w:sz w:val="15"/>
          <w:szCs w:val="15"/>
        </w:rPr>
        <w:t xml:space="preserve">CHAPITRE 14 — LE RÉTROPLANNING</w:t>
      </w:r>
    </w:p>
    <w:p>
      <w:pPr>
        <w:pStyle w:val="Heading1"/>
        <w:pBdr>
          <w:bottom w:val="single" w:color="D99A2B" w:sz="12" w:space="6"/>
        </w:pBdr>
        <w:spacing w:after="200"/>
      </w:pPr>
      <w:r>
        <w:rPr>
          <w:rFonts w:ascii="Georgia" w:cs="Georgia" w:eastAsia="Georgia" w:hAnsi="Georgia"/>
          <w:b/>
          <w:bCs/>
          <w:color w:val="1F4E3D"/>
          <w:sz w:val="34"/>
          <w:szCs w:val="34"/>
        </w:rPr>
        <w:t xml:space="preserve">Si vous devez rentrer : préparer son plan B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Garder une réserve de trésorerie suffisante pour financer le retour et plusieurs mois de réinstallation. (Chapitre 4)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Éviter les engagements longs sans possibilité de sortie : bail avec un préavis raisonnable, abonnements. (Chapitres 5 et 10)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Prévoir un logement de repli dans son pays d'origine : famille, amis.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Garder un compte bancaire dans son pays d'origine et vérifier comment reprendre sa couverture santé et sa protection sociale. (Chapitres 6 et 7)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Conserver tous les justificatifs de change et de paiement des impôts, pour rapatrier ses fonds. (Chapitres 5 et 6)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Récupérer la caution, faire l'état des lieux de sortie et résilier l'eau, l'électricité et internet. (Chapitres 5 et 10)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Faire sortir le véhicule en admission temporaire avant la fin du délai autorisé. (Chapitre 3)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Préparer le dossier scolaire des enfants : bulletins, certificat de radiation, réinscription. (Chapitre 8)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Transférer le dossier médical. (Chapitre 7)</w:t>
      </w:r>
    </w:p>
    <w:p>
      <w:pPr>
        <w:pBdr>
          <w:bottom w:val="single" w:color="E3ECE6" w:sz="4" w:space="4"/>
        </w:pBdr>
        <w:tabs>
          <w:tab w:val="left" w:pos="440"/>
        </w:tabs>
        <w:spacing w:after="60" w:before="60" w:line="290"/>
        <w:ind w:left="440" w:hanging="440"/>
      </w:pP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Georgia" w:cs="Georgia" w:eastAsia="Georgia" w:hAnsi="Georgia"/>
        </w:rPr>
        <w:t xml:space="preserve">	</w:t>
      </w:r>
      <w:r>
        <w:rPr>
          <w:rFonts w:ascii="Georgia" w:cs="Georgia" w:eastAsia="Georgia" w:hAnsi="Georgia"/>
          <w:b w:val="false"/>
          <w:bCs w:val="false"/>
          <w:color w:val="1F2A2E"/>
          <w:sz w:val="21"/>
          <w:szCs w:val="21"/>
        </w:rPr>
        <w:t xml:space="preserve">Prévenir les administrations fiscales et sociales des deux pays. (Chapitre 6)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rFonts w:ascii="Arial" w:cs="Arial" w:eastAsia="Arial" w:hAnsi="Arial"/>
        <w:color w:val="7A8A85"/>
        <w:sz w:val="14"/>
        <w:szCs w:val="14"/>
      </w:rPr>
      <w:t xml:space="preserve">S'installer au Maroc — installationaumaroc.com</w:t>
    </w:r>
    <w:r>
      <w:rPr>
        <w:rFonts w:ascii="Arial" w:cs="Arial" w:eastAsia="Arial" w:hAnsi="Arial"/>
        <w:sz w:val="14"/>
        <w:szCs w:val="14"/>
      </w:rPr>
      <w:t xml:space="preserve">	</w:t>
    </w:r>
    <w:r>
      <w:rPr>
        <w:rFonts w:ascii="Arial" w:cs="Arial" w:eastAsia="Arial" w:hAnsi="Arial"/>
        <w:color w:val="7A8A85"/>
        <w:sz w:val="14"/>
        <w:szCs w:val="14"/>
      </w:rPr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color w:val="1F2A2E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Georgia" w:cs="Georgia" w:eastAsia="Georgia" w:hAnsi="Georgia"/>
      <w:b/>
      <w:bCs/>
      <w:color w:val="1F4E3D"/>
      <w:sz w:val="34"/>
      <w:szCs w:val="34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Arial" w:cs="Arial" w:eastAsia="Arial" w:hAnsi="Arial"/>
      <w:b/>
      <w:bCs/>
      <w:color w:val="9C6A0E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checklists.docx</dc:title>
  <dc:creator>Samir El Andaloussi</dc:creator>
  <cp:lastModifiedBy>Un-named</cp:lastModifiedBy>
  <cp:revision>1</cp:revision>
  <dcterms:created xsi:type="dcterms:W3CDTF">2026-10-16T14:36:17.565Z</dcterms:created>
  <dcterms:modified xsi:type="dcterms:W3CDTF">2026-10-16T14:36:17.565Z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